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leftChars="0" w:firstLine="0" w:firstLineChars="0"/>
        <w:rPr>
          <w:rFonts w:hint="eastAsia" w:ascii="仿宋" w:hAnsi="仿宋" w:eastAsia="仿宋"/>
          <w:color w:val="000000" w:themeColor="text1"/>
          <w:sz w:val="21"/>
          <w:szCs w:val="21"/>
          <w14:textFill>
            <w14:solidFill>
              <w14:schemeClr w14:val="tx1"/>
            </w14:solidFill>
          </w14:textFill>
        </w:rPr>
      </w:pPr>
    </w:p>
    <w:p>
      <w:pPr>
        <w:pStyle w:val="3"/>
        <w:ind w:left="0" w:leftChars="0" w:firstLine="0" w:firstLineChars="0"/>
        <w:rPr>
          <w:rFonts w:hint="eastAsia" w:ascii="仿宋" w:hAnsi="仿宋" w:eastAsia="仿宋"/>
          <w:color w:val="000000" w:themeColor="text1"/>
          <w:sz w:val="21"/>
          <w:szCs w:val="21"/>
          <w14:textFill>
            <w14:solidFill>
              <w14:schemeClr w14:val="tx1"/>
            </w14:solidFill>
          </w14:textFill>
        </w:rPr>
      </w:pPr>
    </w:p>
    <w:p>
      <w:pPr>
        <w:pStyle w:val="3"/>
        <w:ind w:left="0" w:leftChars="0" w:firstLine="0" w:firstLineChars="0"/>
        <w:rPr>
          <w:rFonts w:hint="eastAsia" w:ascii="仿宋" w:hAnsi="仿宋" w:eastAsia="仿宋"/>
          <w:color w:val="000000" w:themeColor="text1"/>
          <w:sz w:val="21"/>
          <w:szCs w:val="21"/>
          <w14:textFill>
            <w14:solidFill>
              <w14:schemeClr w14:val="tx1"/>
            </w14:solidFill>
          </w14:textFill>
        </w:rPr>
      </w:pPr>
    </w:p>
    <w:p>
      <w:pPr>
        <w:pStyle w:val="3"/>
        <w:ind w:left="0" w:leftChars="0" w:firstLine="0" w:firstLineChars="0"/>
        <w:rPr>
          <w:rFonts w:hint="default" w:ascii="仿宋" w:hAnsi="仿宋" w:eastAsia="仿宋"/>
          <w:color w:val="000000" w:themeColor="text1"/>
          <w:sz w:val="21"/>
          <w:szCs w:val="21"/>
          <w:lang w:val="en-US" w:eastAsia="zh-CN"/>
          <w14:textFill>
            <w14:solidFill>
              <w14:schemeClr w14:val="tx1"/>
            </w14:solidFill>
          </w14:textFill>
        </w:rPr>
      </w:pPr>
      <w:r>
        <w:rPr>
          <w:rFonts w:hint="eastAsia" w:ascii="仿宋" w:hAnsi="仿宋" w:eastAsia="仿宋"/>
          <w:color w:val="000000" w:themeColor="text1"/>
          <w:sz w:val="21"/>
          <w:szCs w:val="21"/>
          <w:lang w:val="en-US" w:eastAsia="zh-CN"/>
          <w14:textFill>
            <w14:solidFill>
              <w14:schemeClr w14:val="tx1"/>
            </w14:solidFill>
          </w14:textFill>
        </w:rPr>
        <w:t xml:space="preserve">  </w:t>
      </w:r>
    </w:p>
    <w:p>
      <w:pPr>
        <w:pStyle w:val="3"/>
        <w:ind w:left="0" w:leftChars="0" w:firstLine="0" w:firstLineChars="0"/>
        <w:rPr>
          <w:rFonts w:hint="eastAsia" w:ascii="仿宋" w:hAnsi="仿宋" w:eastAsia="仿宋"/>
          <w:color w:val="000000" w:themeColor="text1"/>
          <w:sz w:val="21"/>
          <w:szCs w:val="21"/>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olor w:val="000000" w:themeColor="text1"/>
          <w:sz w:val="36"/>
          <w:szCs w:val="36"/>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olor w:val="000000" w:themeColor="text1"/>
          <w:sz w:val="36"/>
          <w:szCs w:val="36"/>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olor w:val="000000" w:themeColor="text1"/>
          <w:sz w:val="36"/>
          <w:szCs w:val="36"/>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olor w:val="000000" w:themeColor="text1"/>
          <w:sz w:val="28"/>
          <w:szCs w:val="28"/>
          <w14:textFill>
            <w14:solidFill>
              <w14:schemeClr w14:val="tx1"/>
            </w14:solidFill>
          </w14:textFill>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6"/>
          <w:szCs w:val="36"/>
          <w14:textFill>
            <w14:solidFill>
              <w14:schemeClr w14:val="tx1"/>
            </w14:solidFill>
          </w14:textFill>
        </w:rPr>
      </w:pPr>
      <w:r>
        <w:rPr>
          <w:rFonts w:hint="eastAsia" w:ascii="仿宋_GB2312" w:hAnsi="仿宋_GB2312" w:eastAsia="仿宋_GB2312" w:cs="仿宋_GB2312"/>
          <w:color w:val="000000" w:themeColor="text1"/>
          <w:sz w:val="36"/>
          <w:szCs w:val="36"/>
          <w14:textFill>
            <w14:solidFill>
              <w14:schemeClr w14:val="tx1"/>
            </w14:solidFill>
          </w14:textFill>
        </w:rPr>
        <w:t>延政数〔20</w:t>
      </w:r>
      <w:r>
        <w:rPr>
          <w:rFonts w:hint="eastAsia" w:ascii="仿宋_GB2312" w:hAnsi="仿宋_GB2312" w:eastAsia="仿宋_GB2312" w:cs="仿宋_GB2312"/>
          <w:color w:val="000000" w:themeColor="text1"/>
          <w:sz w:val="36"/>
          <w:szCs w:val="36"/>
          <w:lang w:val="en-US" w:eastAsia="zh-CN"/>
          <w14:textFill>
            <w14:solidFill>
              <w14:schemeClr w14:val="tx1"/>
            </w14:solidFill>
          </w14:textFill>
        </w:rPr>
        <w:t>20</w:t>
      </w:r>
      <w:r>
        <w:rPr>
          <w:rFonts w:hint="eastAsia" w:ascii="仿宋_GB2312" w:hAnsi="仿宋_GB2312" w:eastAsia="仿宋_GB2312" w:cs="仿宋_GB2312"/>
          <w:color w:val="000000" w:themeColor="text1"/>
          <w:sz w:val="36"/>
          <w:szCs w:val="36"/>
          <w14:textFill>
            <w14:solidFill>
              <w14:schemeClr w14:val="tx1"/>
            </w14:solidFill>
          </w14:textFill>
        </w:rPr>
        <w:t>〕</w:t>
      </w:r>
      <w:r>
        <w:rPr>
          <w:rFonts w:hint="eastAsia" w:ascii="仿宋_GB2312" w:hAnsi="仿宋_GB2312" w:eastAsia="仿宋_GB2312" w:cs="仿宋_GB2312"/>
          <w:color w:val="000000" w:themeColor="text1"/>
          <w:sz w:val="36"/>
          <w:szCs w:val="36"/>
          <w:lang w:val="en-US" w:eastAsia="zh-CN"/>
          <w14:textFill>
            <w14:solidFill>
              <w14:schemeClr w14:val="tx1"/>
            </w14:solidFill>
          </w14:textFill>
        </w:rPr>
        <w:t>4</w:t>
      </w:r>
      <w:r>
        <w:rPr>
          <w:rFonts w:hint="eastAsia" w:ascii="仿宋_GB2312" w:hAnsi="仿宋_GB2312" w:eastAsia="仿宋_GB2312" w:cs="仿宋_GB2312"/>
          <w:color w:val="000000" w:themeColor="text1"/>
          <w:sz w:val="36"/>
          <w:szCs w:val="36"/>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仿宋" w:hAnsi="仿宋" w:eastAsia="仿宋"/>
          <w:color w:val="000000" w:themeColor="text1"/>
          <w:sz w:val="36"/>
          <w:szCs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pPr>
      <w:r>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t>延津县政务服务和大数据管理局</w:t>
      </w:r>
    </w:p>
    <w:p>
      <w:pPr>
        <w:keepNext w:val="0"/>
        <w:keepLines w:val="0"/>
        <w:pageBreakBefore w:val="0"/>
        <w:widowControl w:val="0"/>
        <w:kinsoku/>
        <w:wordWrap/>
        <w:overflowPunct/>
        <w:topLinePunct w:val="0"/>
        <w:autoSpaceDE/>
        <w:autoSpaceDN/>
        <w:bidi w:val="0"/>
        <w:adjustRightInd/>
        <w:spacing w:line="570" w:lineRule="exact"/>
        <w:jc w:val="center"/>
        <w:textAlignment w:val="auto"/>
        <w:rPr>
          <w:rFonts w:hint="eastAsia" w:ascii="方正大标宋简体" w:hAnsi="仿宋" w:eastAsia="方正大标宋简体"/>
          <w:color w:val="000000" w:themeColor="text1"/>
          <w:spacing w:val="10"/>
          <w:sz w:val="44"/>
          <w:szCs w:val="44"/>
          <w:lang w:val="en-US" w:eastAsia="zh-CN"/>
          <w14:textFill>
            <w14:solidFill>
              <w14:schemeClr w14:val="tx1"/>
            </w14:solidFill>
          </w14:textFill>
        </w:rPr>
      </w:pPr>
      <w:r>
        <w:rPr>
          <w:rFonts w:hint="eastAsia" w:ascii="方正大标宋简体" w:hAnsi="仿宋" w:eastAsia="方正大标宋简体"/>
          <w:color w:val="000000" w:themeColor="text1"/>
          <w:spacing w:val="10"/>
          <w:sz w:val="44"/>
          <w:szCs w:val="44"/>
          <w:lang w:val="en-US" w:eastAsia="zh-CN"/>
          <w14:textFill>
            <w14:solidFill>
              <w14:schemeClr w14:val="tx1"/>
            </w14:solidFill>
          </w14:textFill>
        </w:rPr>
        <w:t>关于</w:t>
      </w:r>
      <w:r>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t>印发《延津县政务服务平台咨询投诉建议评价处理暂行办法》的通知</w:t>
      </w:r>
    </w:p>
    <w:p>
      <w:pPr>
        <w:pStyle w:val="3"/>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方正大标宋简体" w:hAnsi="仿宋" w:eastAsia="方正大标宋简体"/>
          <w:color w:val="000000" w:themeColor="text1"/>
          <w:spacing w:val="10"/>
          <w:sz w:val="44"/>
          <w:szCs w:val="44"/>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pPr>
      <w:r>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t>局各股室、</w:t>
      </w:r>
      <w:r>
        <w:rPr>
          <w:rFonts w:hint="eastAsia" w:ascii="仿宋_GB2312" w:hAnsi="仿宋_GB2312" w:eastAsia="仿宋_GB2312" w:cs="仿宋_GB2312"/>
          <w:color w:val="000000" w:themeColor="text1"/>
          <w:spacing w:val="10"/>
          <w:kern w:val="0"/>
          <w:sz w:val="32"/>
          <w:szCs w:val="32"/>
          <w:lang w:val="en-US" w:eastAsia="zh-CN" w:bidi="ar"/>
          <w14:textFill>
            <w14:solidFill>
              <w14:schemeClr w14:val="tx1"/>
            </w14:solidFill>
          </w14:textFill>
        </w:rPr>
        <w:t>县</w:t>
      </w:r>
      <w:r>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t>行政服务中心、各</w:t>
      </w:r>
      <w:r>
        <w:rPr>
          <w:rFonts w:hint="eastAsia" w:ascii="仿宋_GB2312" w:hAnsi="仿宋_GB2312" w:eastAsia="仿宋_GB2312" w:cs="仿宋_GB2312"/>
          <w:color w:val="000000" w:themeColor="text1"/>
          <w:spacing w:val="10"/>
          <w:kern w:val="0"/>
          <w:sz w:val="32"/>
          <w:szCs w:val="32"/>
          <w:lang w:val="en-US" w:eastAsia="zh-CN" w:bidi="ar"/>
          <w14:textFill>
            <w14:solidFill>
              <w14:schemeClr w14:val="tx1"/>
            </w14:solidFill>
          </w14:textFill>
        </w:rPr>
        <w:t>进驻</w:t>
      </w:r>
      <w:r>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t>窗口：</w:t>
      </w:r>
    </w:p>
    <w:p>
      <w:pPr>
        <w:keepNext w:val="0"/>
        <w:keepLines w:val="0"/>
        <w:pageBreakBefore w:val="0"/>
        <w:kinsoku/>
        <w:wordWrap/>
        <w:overflowPunct/>
        <w:topLinePunct w:val="0"/>
        <w:autoSpaceDE/>
        <w:autoSpaceDN/>
        <w:bidi w:val="0"/>
        <w:adjustRightInd/>
        <w:spacing w:line="570" w:lineRule="exact"/>
        <w:ind w:firstLine="680" w:firstLineChars="200"/>
        <w:jc w:val="left"/>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仿宋_GB2312" w:hAnsi="仿宋_GB2312" w:eastAsia="仿宋_GB2312" w:cs="仿宋_GB2312"/>
          <w:color w:val="000000" w:themeColor="text1"/>
          <w:spacing w:val="10"/>
          <w:sz w:val="32"/>
          <w:szCs w:val="32"/>
          <w14:textFill>
            <w14:solidFill>
              <w14:schemeClr w14:val="tx1"/>
            </w14:solidFill>
          </w14:textFill>
        </w:rPr>
        <w:t>《延津县政务服务平台咨询投诉建议评价处理暂行办法》已经</w:t>
      </w:r>
      <w:r>
        <w:rPr>
          <w:rFonts w:hint="eastAsia" w:ascii="仿宋_GB2312" w:hAnsi="仿宋_GB2312" w:eastAsia="仿宋_GB2312" w:cs="仿宋_GB2312"/>
          <w:color w:val="000000" w:themeColor="text1"/>
          <w:spacing w:val="10"/>
          <w:sz w:val="32"/>
          <w:szCs w:val="32"/>
          <w:lang w:val="en-US" w:eastAsia="zh-CN"/>
          <w14:textFill>
            <w14:solidFill>
              <w14:schemeClr w14:val="tx1"/>
            </w14:solidFill>
          </w14:textFill>
        </w:rPr>
        <w:t>研究</w:t>
      </w:r>
      <w:r>
        <w:rPr>
          <w:rFonts w:hint="eastAsia" w:ascii="仿宋_GB2312" w:hAnsi="仿宋_GB2312" w:eastAsia="仿宋_GB2312" w:cs="仿宋_GB2312"/>
          <w:color w:val="000000" w:themeColor="text1"/>
          <w:spacing w:val="10"/>
          <w:sz w:val="32"/>
          <w:szCs w:val="32"/>
          <w14:textFill>
            <w14:solidFill>
              <w14:schemeClr w14:val="tx1"/>
            </w14:solidFill>
          </w14:textFill>
        </w:rPr>
        <w:t>同意，现印发给你们，请认真贯彻落实。</w:t>
      </w:r>
    </w:p>
    <w:p>
      <w:pPr>
        <w:keepNext w:val="0"/>
        <w:keepLines w:val="0"/>
        <w:pageBreakBefore w:val="0"/>
        <w:kinsoku/>
        <w:wordWrap/>
        <w:overflowPunct/>
        <w:topLinePunct w:val="0"/>
        <w:autoSpaceDE/>
        <w:autoSpaceDN/>
        <w:bidi w:val="0"/>
        <w:adjustRightInd/>
        <w:spacing w:line="570" w:lineRule="exact"/>
        <w:ind w:firstLine="4080" w:firstLineChars="1200"/>
        <w:jc w:val="left"/>
        <w:textAlignment w:val="auto"/>
        <w:rPr>
          <w:rFonts w:hint="eastAsia" w:ascii="仿宋_GB2312" w:hAnsi="仿宋_GB2312" w:eastAsia="仿宋_GB2312" w:cs="仿宋_GB2312"/>
          <w:color w:val="000000" w:themeColor="text1"/>
          <w:spacing w:val="10"/>
          <w:sz w:val="32"/>
          <w:szCs w:val="32"/>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pacing w:line="570" w:lineRule="exact"/>
        <w:jc w:val="right"/>
        <w:textAlignment w:val="auto"/>
        <w:rPr>
          <w:rFonts w:hint="eastAsia" w:ascii="仿宋_GB2312" w:hAnsi="仿宋_GB2312" w:eastAsia="仿宋_GB2312" w:cs="仿宋_GB2312"/>
          <w:color w:val="000000" w:themeColor="text1"/>
          <w:spacing w:val="10"/>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10"/>
          <w:sz w:val="32"/>
          <w:szCs w:val="32"/>
          <w:lang w:eastAsia="zh-CN"/>
          <w14:textFill>
            <w14:solidFill>
              <w14:schemeClr w14:val="tx1"/>
            </w14:solidFill>
          </w14:textFill>
        </w:rPr>
        <w:t>延津县政务服务和大数据管理局</w:t>
      </w:r>
    </w:p>
    <w:p>
      <w:pPr>
        <w:pStyle w:val="6"/>
        <w:keepNext w:val="0"/>
        <w:keepLines w:val="0"/>
        <w:pageBreakBefore w:val="0"/>
        <w:widowControl/>
        <w:kinsoku/>
        <w:wordWrap/>
        <w:overflowPunct/>
        <w:topLinePunct w:val="0"/>
        <w:autoSpaceDE/>
        <w:autoSpaceDN/>
        <w:bidi w:val="0"/>
        <w:adjustRightInd/>
        <w:snapToGrid w:val="0"/>
        <w:spacing w:beforeAutospacing="0" w:afterAutospacing="0" w:line="570" w:lineRule="exact"/>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仿宋_GB2312" w:hAnsi="仿宋_GB2312" w:eastAsia="仿宋_GB2312" w:cs="仿宋_GB2312"/>
          <w:color w:val="000000" w:themeColor="text1"/>
          <w:spacing w:val="10"/>
          <w:sz w:val="32"/>
          <w:szCs w:val="32"/>
          <w14:textFill>
            <w14:solidFill>
              <w14:schemeClr w14:val="tx1"/>
            </w14:solidFill>
          </w14:textFill>
        </w:rPr>
        <w:t xml:space="preserve">                            2020年</w:t>
      </w:r>
      <w:r>
        <w:rPr>
          <w:rFonts w:hint="eastAsia" w:ascii="仿宋_GB2312" w:hAnsi="仿宋_GB2312" w:eastAsia="仿宋_GB2312" w:cs="仿宋_GB2312"/>
          <w:color w:val="000000" w:themeColor="text1"/>
          <w:spacing w:val="1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pacing w:val="10"/>
          <w:sz w:val="32"/>
          <w:szCs w:val="32"/>
          <w14:textFill>
            <w14:solidFill>
              <w14:schemeClr w14:val="tx1"/>
            </w14:solidFill>
          </w14:textFill>
        </w:rPr>
        <w:t>月2</w:t>
      </w:r>
      <w:r>
        <w:rPr>
          <w:rFonts w:hint="eastAsia" w:ascii="仿宋_GB2312" w:hAnsi="仿宋_GB2312" w:eastAsia="仿宋_GB2312" w:cs="仿宋_GB2312"/>
          <w:color w:val="000000" w:themeColor="text1"/>
          <w:spacing w:val="10"/>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pacing w:val="10"/>
          <w:sz w:val="32"/>
          <w:szCs w:val="32"/>
          <w14:textFill>
            <w14:solidFill>
              <w14:schemeClr w14:val="tx1"/>
            </w14:solidFill>
          </w14:textFill>
        </w:rPr>
        <w:t>日</w:t>
      </w:r>
    </w:p>
    <w:p>
      <w:pPr>
        <w:pStyle w:val="6"/>
        <w:keepNext w:val="0"/>
        <w:keepLines w:val="0"/>
        <w:pageBreakBefore w:val="0"/>
        <w:widowControl/>
        <w:kinsoku/>
        <w:wordWrap/>
        <w:overflowPunct/>
        <w:topLinePunct w:val="0"/>
        <w:autoSpaceDE/>
        <w:autoSpaceDN/>
        <w:bidi w:val="0"/>
        <w:adjustRightInd/>
        <w:snapToGrid w:val="0"/>
        <w:spacing w:beforeAutospacing="0" w:afterAutospacing="0" w:line="570" w:lineRule="exact"/>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570" w:lineRule="exact"/>
        <w:jc w:val="center"/>
        <w:textAlignment w:val="auto"/>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570" w:lineRule="exact"/>
        <w:jc w:val="center"/>
        <w:textAlignment w:val="auto"/>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570" w:lineRule="exact"/>
        <w:jc w:val="center"/>
        <w:textAlignment w:val="auto"/>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570" w:lineRule="exact"/>
        <w:jc w:val="center"/>
        <w:textAlignment w:val="auto"/>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570" w:lineRule="exact"/>
        <w:jc w:val="center"/>
        <w:textAlignment w:val="auto"/>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pPr>
      <w:r>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t>延津县政务服务平台咨询投诉建议评价</w:t>
      </w:r>
    </w:p>
    <w:p>
      <w:pPr>
        <w:keepNext w:val="0"/>
        <w:keepLines w:val="0"/>
        <w:pageBreakBefore w:val="0"/>
        <w:widowControl w:val="0"/>
        <w:kinsoku/>
        <w:wordWrap/>
        <w:overflowPunct/>
        <w:topLinePunct w:val="0"/>
        <w:autoSpaceDE/>
        <w:autoSpaceDN/>
        <w:bidi w:val="0"/>
        <w:adjustRightInd/>
        <w:spacing w:line="570" w:lineRule="exact"/>
        <w:jc w:val="center"/>
        <w:textAlignment w:val="auto"/>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pPr>
      <w:r>
        <w:rPr>
          <w:rFonts w:hint="eastAsia" w:ascii="方正大标宋简体" w:hAnsi="方正大标宋简体" w:eastAsia="方正大标宋简体" w:cs="方正大标宋简体"/>
          <w:b w:val="0"/>
          <w:bCs/>
          <w:color w:val="000000" w:themeColor="text1"/>
          <w:spacing w:val="10"/>
          <w:sz w:val="44"/>
          <w:szCs w:val="44"/>
          <w:lang w:val="en-US" w:eastAsia="zh-CN"/>
          <w14:textFill>
            <w14:solidFill>
              <w14:schemeClr w14:val="tx1"/>
            </w14:solidFill>
          </w14:textFill>
        </w:rPr>
        <w:t>处理暂行办法</w:t>
      </w:r>
    </w:p>
    <w:p>
      <w:pPr>
        <w:keepNext w:val="0"/>
        <w:keepLines w:val="0"/>
        <w:pageBreakBefore w:val="0"/>
        <w:kinsoku/>
        <w:wordWrap/>
        <w:overflowPunct/>
        <w:topLinePunct w:val="0"/>
        <w:autoSpaceDE/>
        <w:autoSpaceDN/>
        <w:bidi w:val="0"/>
        <w:adjustRightInd/>
        <w:spacing w:line="570" w:lineRule="exact"/>
        <w:textAlignment w:val="auto"/>
        <w:rPr>
          <w:rFonts w:hint="eastAsia" w:ascii="仿宋" w:hAnsi="仿宋" w:eastAsia="仿宋" w:cs="仿宋"/>
          <w:color w:val="000000" w:themeColor="text1"/>
          <w:spacing w:val="10"/>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ascii="仿宋" w:hAnsi="仿宋" w:eastAsia="仿宋" w:cs="仿宋"/>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第一条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为进一步畅通咨询投诉建议评价渠道，规范我县政务服务咨询投诉建议评价处理工作，及时回应并推动解决企业和群众政务服务事项办理中的难点堵点疑点问题，根据《国家政务服务平台政务服务投诉建议处理暂行办法》（国办电政函〔2019〕233号）文件规定、《河南省政务服务平台咨询投诉建议处理暂行办法》及《新乡市政务服务平台咨询投诉建议评价处理暂行办法》的通知精神，结合我县工作实际，制定本办法。</w:t>
      </w:r>
      <w:r>
        <w:rPr>
          <w:rFonts w:hint="eastAsia" w:ascii="仿宋" w:hAnsi="仿宋" w:eastAsia="仿宋" w:cs="仿宋"/>
          <w:color w:val="000000" w:themeColor="text1"/>
          <w:spacing w:val="10"/>
          <w:sz w:val="32"/>
          <w:szCs w:val="32"/>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第二条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河南省一体化在线政务服务平台咨询投诉建议评价系统7</w:t>
      </w:r>
      <w:r>
        <w:rPr>
          <w:rFonts w:ascii="仿宋_GB2312" w:hAnsi="仿宋_GB2312" w:eastAsia="仿宋_GB2312" w:cs="仿宋_GB2312"/>
          <w:color w:val="000000" w:themeColor="text1"/>
          <w:spacing w:val="10"/>
          <w:sz w:val="32"/>
          <w:szCs w:val="32"/>
          <w14:textFill>
            <w14:solidFill>
              <w14:schemeClr w14:val="tx1"/>
            </w14:solidFill>
          </w14:textFill>
        </w:rPr>
        <w:t>×</w:t>
      </w:r>
      <w:r>
        <w:rPr>
          <w:rFonts w:hint="eastAsia" w:ascii="仿宋_GB2312" w:hAnsi="仿宋_GB2312" w:eastAsia="仿宋_GB2312" w:cs="仿宋_GB2312"/>
          <w:color w:val="000000" w:themeColor="text1"/>
          <w:spacing w:val="10"/>
          <w:sz w:val="32"/>
          <w:szCs w:val="32"/>
          <w14:textFill>
            <w14:solidFill>
              <w14:schemeClr w14:val="tx1"/>
            </w14:solidFill>
          </w14:textFill>
        </w:rPr>
        <w:t>24小时接收全省范围内企业和群众在政务服务事项办理过程中涉及新乡市各级各部门的咨询、投诉、建议和评价。</w:t>
      </w: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第三条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河南省一体化在线政务服务平台不直接办理、裁定具体咨询投诉建议评价，对接收涉及新乡市的政务服务咨询投诉建议评价及时转交我市政务服务平台办理。按照办件归属原则，局政务服务调查股负责每天登录政务服务平台查看，对涉及部门的咨询投诉建议差评及时进行处理。</w:t>
      </w: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第四条</w:t>
      </w:r>
      <w:r>
        <w:rPr>
          <w:rFonts w:hint="eastAsia" w:ascii="仿宋" w:hAnsi="仿宋" w:eastAsia="仿宋" w:cs="仿宋"/>
          <w:color w:val="000000" w:themeColor="text1"/>
          <w:spacing w:val="10"/>
          <w:sz w:val="32"/>
          <w:szCs w:val="32"/>
          <w14:textFill>
            <w14:solidFill>
              <w14:schemeClr w14:val="tx1"/>
            </w14:solidFill>
          </w14:textFill>
        </w:rPr>
        <w:t xml:space="preserve">  县</w:t>
      </w:r>
      <w:r>
        <w:rPr>
          <w:rFonts w:hint="eastAsia" w:ascii="仿宋_GB2312" w:hAnsi="仿宋_GB2312" w:eastAsia="仿宋_GB2312" w:cs="仿宋_GB2312"/>
          <w:color w:val="000000" w:themeColor="text1"/>
          <w:spacing w:val="10"/>
          <w:sz w:val="32"/>
          <w:szCs w:val="32"/>
          <w14:textFill>
            <w14:solidFill>
              <w14:schemeClr w14:val="tx1"/>
            </w14:solidFill>
          </w14:textFill>
        </w:rPr>
        <w:t>政务服务和大数据管理局政务服务部门以及依法承担行政管理职能、公共服务职能的单位和组织作为咨询投诉建议评价的办理主体，负责本单位职责范围内咨询投诉建议评价的处理工作。</w:t>
      </w: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第五条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省一体化在线政务服务平台建立政务服务咨询投诉建议内容过滤机制，包含下列情形的不予接收：</w:t>
      </w: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仿宋_GB2312" w:hAnsi="仿宋_GB2312" w:eastAsia="仿宋_GB2312" w:cs="仿宋_GB2312"/>
          <w:color w:val="000000" w:themeColor="text1"/>
          <w:spacing w:val="10"/>
          <w:sz w:val="32"/>
          <w:szCs w:val="32"/>
          <w14:textFill>
            <w14:solidFill>
              <w14:schemeClr w14:val="tx1"/>
            </w14:solidFill>
          </w14:textFill>
        </w:rPr>
        <w:t>（一）危害国家安全、破坏民族团结、煽动非法集会、扰乱社会秩序、封建迷信的；</w:t>
      </w: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仿宋_GB2312" w:hAnsi="仿宋_GB2312" w:eastAsia="仿宋_GB2312" w:cs="仿宋_GB2312"/>
          <w:color w:val="000000" w:themeColor="text1"/>
          <w:spacing w:val="10"/>
          <w:sz w:val="32"/>
          <w:szCs w:val="32"/>
          <w14:textFill>
            <w14:solidFill>
              <w14:schemeClr w14:val="tx1"/>
            </w14:solidFill>
          </w14:textFill>
        </w:rPr>
        <w:t>（二）缺乏具体内容、诉求不明、无理纠缠、侮辱谩骂、重复投诉的；</w:t>
      </w: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仿宋_GB2312" w:hAnsi="仿宋_GB2312" w:eastAsia="仿宋_GB2312" w:cs="仿宋_GB2312"/>
          <w:color w:val="000000" w:themeColor="text1"/>
          <w:spacing w:val="10"/>
          <w:sz w:val="32"/>
          <w:szCs w:val="32"/>
          <w14:textFill>
            <w14:solidFill>
              <w14:schemeClr w14:val="tx1"/>
            </w14:solidFill>
          </w14:textFill>
        </w:rPr>
        <w:t>（三）涉及信访、纪检监察、行政复议、涉法涉诉等非政务服务范围内的；</w:t>
      </w:r>
    </w:p>
    <w:p>
      <w:pPr>
        <w:keepNext w:val="0"/>
        <w:keepLines w:val="0"/>
        <w:pageBreakBefore w:val="0"/>
        <w:kinsoku/>
        <w:wordWrap/>
        <w:overflowPunct/>
        <w:topLinePunct w:val="0"/>
        <w:autoSpaceDE/>
        <w:autoSpaceDN/>
        <w:bidi w:val="0"/>
        <w:adjustRightInd/>
        <w:spacing w:line="570" w:lineRule="exact"/>
        <w:ind w:firstLine="680" w:firstLineChars="200"/>
        <w:textAlignment w:val="auto"/>
        <w:rPr>
          <w:rFonts w:hint="eastAsia" w:ascii="仿宋" w:hAnsi="仿宋" w:eastAsia="仿宋" w:cs="仿宋"/>
          <w:color w:val="000000" w:themeColor="text1"/>
          <w:spacing w:val="10"/>
          <w:sz w:val="32"/>
          <w:szCs w:val="32"/>
          <w14:textFill>
            <w14:solidFill>
              <w14:schemeClr w14:val="tx1"/>
            </w14:solidFill>
          </w14:textFill>
        </w:rPr>
      </w:pPr>
      <w:r>
        <w:rPr>
          <w:rFonts w:hint="eastAsia" w:ascii="仿宋_GB2312" w:hAnsi="仿宋_GB2312" w:eastAsia="仿宋_GB2312" w:cs="仿宋_GB2312"/>
          <w:color w:val="000000" w:themeColor="text1"/>
          <w:spacing w:val="10"/>
          <w:sz w:val="32"/>
          <w:szCs w:val="32"/>
          <w14:textFill>
            <w14:solidFill>
              <w14:schemeClr w14:val="tx1"/>
            </w14:solidFill>
          </w14:textFill>
        </w:rPr>
        <w:t>（四）其他违反国家法律法规和有关规定的。</w:t>
      </w:r>
    </w:p>
    <w:p>
      <w:pPr>
        <w:keepNext w:val="0"/>
        <w:keepLines w:val="0"/>
        <w:pageBreakBefore w:val="0"/>
        <w:kinsoku/>
        <w:wordWrap/>
        <w:overflowPunct/>
        <w:topLinePunct w:val="0"/>
        <w:autoSpaceDE/>
        <w:autoSpaceDN/>
        <w:bidi w:val="0"/>
        <w:adjustRightInd/>
        <w:spacing w:line="570" w:lineRule="exact"/>
        <w:ind w:firstLine="640"/>
        <w:textAlignment w:val="auto"/>
        <w:rPr>
          <w:rFonts w:hint="eastAsia" w:ascii="仿宋" w:hAnsi="仿宋" w:eastAsia="仿宋" w:cs="仿宋"/>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第六条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政务服务咨询投诉建议差评按照“属地管理优先”“谁主管谁负责”的原则分类处置，按责交办，限时办结，统一督办，实现企业和群众诉求件件有落实、事事有回应。处理流程包括办理、回复、回访。</w:t>
      </w:r>
    </w:p>
    <w:p>
      <w:pPr>
        <w:keepNext w:val="0"/>
        <w:keepLines w:val="0"/>
        <w:pageBreakBefore w:val="0"/>
        <w:kinsoku/>
        <w:wordWrap/>
        <w:overflowPunct/>
        <w:topLinePunct w:val="0"/>
        <w:autoSpaceDE/>
        <w:autoSpaceDN/>
        <w:bidi w:val="0"/>
        <w:adjustRightInd/>
        <w:spacing w:line="570" w:lineRule="exact"/>
        <w:ind w:firstLine="640"/>
        <w:textAlignment w:val="auto"/>
        <w:rPr>
          <w:rFonts w:hint="eastAsia" w:ascii="仿宋" w:hAnsi="仿宋" w:eastAsia="仿宋" w:cs="仿宋"/>
          <w:color w:val="000000" w:themeColor="text1"/>
          <w:spacing w:val="10"/>
          <w:sz w:val="32"/>
          <w:szCs w:val="32"/>
          <w14:textFill>
            <w14:solidFill>
              <w14:schemeClr w14:val="tx1"/>
            </w14:solidFill>
          </w14:textFill>
        </w:rPr>
      </w:pPr>
      <w:r>
        <w:rPr>
          <w:rFonts w:hint="eastAsia" w:ascii="楷体" w:hAnsi="楷体" w:eastAsia="楷体" w:cs="楷体"/>
          <w:color w:val="000000" w:themeColor="text1"/>
          <w:spacing w:val="10"/>
          <w:sz w:val="32"/>
          <w:szCs w:val="32"/>
          <w14:textFill>
            <w14:solidFill>
              <w14:schemeClr w14:val="tx1"/>
            </w14:solidFill>
          </w14:textFill>
        </w:rPr>
        <w:t>（一）办理。</w:t>
      </w:r>
      <w:r>
        <w:rPr>
          <w:rFonts w:hint="eastAsia" w:ascii="仿宋_GB2312" w:hAnsi="仿宋_GB2312" w:eastAsia="仿宋_GB2312" w:cs="仿宋_GB2312"/>
          <w:color w:val="000000" w:themeColor="text1"/>
          <w:spacing w:val="10"/>
          <w:sz w:val="32"/>
          <w:szCs w:val="32"/>
          <w14:textFill>
            <w14:solidFill>
              <w14:schemeClr w14:val="tx1"/>
            </w14:solidFill>
          </w14:textFill>
        </w:rPr>
        <w:t>对符合受理条件的政务服务咨询投诉建议差评，各承办单位应及时办理，紧急类的从快解决，能够立即解决的要立即解决。不能立即解决的，要按照“1、5、15”时限要求进行办理，即在1个工作日内，对于表述不清的问题，确需沟通的，通过先行联系反映问题的企业或群众等方式，进一步了解核实情况；对确实存在问题的，在5个工作日内完成调查处理工作；较为复杂的，要在15个工作日内办结。法律、行政法规另有规定的，按其规定办理。</w:t>
      </w:r>
    </w:p>
    <w:p>
      <w:pPr>
        <w:keepNext w:val="0"/>
        <w:keepLines w:val="0"/>
        <w:pageBreakBefore w:val="0"/>
        <w:kinsoku/>
        <w:wordWrap/>
        <w:overflowPunct/>
        <w:topLinePunct w:val="0"/>
        <w:autoSpaceDE/>
        <w:autoSpaceDN/>
        <w:bidi w:val="0"/>
        <w:adjustRightInd/>
        <w:spacing w:line="570" w:lineRule="exact"/>
        <w:ind w:firstLine="64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楷体" w:hAnsi="楷体" w:eastAsia="楷体" w:cs="楷体"/>
          <w:color w:val="000000" w:themeColor="text1"/>
          <w:spacing w:val="10"/>
          <w:sz w:val="32"/>
          <w:szCs w:val="32"/>
          <w14:textFill>
            <w14:solidFill>
              <w14:schemeClr w14:val="tx1"/>
            </w14:solidFill>
          </w14:textFill>
        </w:rPr>
        <w:t>（二）回复。</w:t>
      </w:r>
      <w:r>
        <w:rPr>
          <w:rFonts w:hint="eastAsia" w:ascii="仿宋_GB2312" w:hAnsi="仿宋_GB2312" w:eastAsia="仿宋_GB2312" w:cs="仿宋_GB2312"/>
          <w:color w:val="000000" w:themeColor="text1"/>
          <w:spacing w:val="10"/>
          <w:sz w:val="32"/>
          <w:szCs w:val="32"/>
          <w14:textFill>
            <w14:solidFill>
              <w14:schemeClr w14:val="tx1"/>
            </w14:solidFill>
          </w14:textFill>
        </w:rPr>
        <w:t>办理完毕的咨询投诉建议差评，经单位主管领导审阅后，先将办理情况回复至一体化在线政务服务平台进行质检。回复内容要包含调查核实、处理过程、整改措施、整改结果等基本要素。对事实清楚、定性准确、处理到位的回复视为质检通过，通过后向咨询投诉建议差评人进行反馈；质检未通过的，退回承办单位重新办理。</w:t>
      </w:r>
    </w:p>
    <w:p>
      <w:pPr>
        <w:keepNext w:val="0"/>
        <w:keepLines w:val="0"/>
        <w:pageBreakBefore w:val="0"/>
        <w:kinsoku/>
        <w:wordWrap/>
        <w:overflowPunct/>
        <w:topLinePunct w:val="0"/>
        <w:autoSpaceDE/>
        <w:autoSpaceDN/>
        <w:bidi w:val="0"/>
        <w:adjustRightInd/>
        <w:spacing w:line="570" w:lineRule="exact"/>
        <w:ind w:firstLine="640"/>
        <w:textAlignment w:val="auto"/>
        <w:rPr>
          <w:rFonts w:hint="eastAsia" w:ascii="仿宋_GB2312" w:hAnsi="仿宋_GB2312" w:eastAsia="仿宋_GB2312" w:cs="仿宋_GB2312"/>
          <w:color w:val="000000" w:themeColor="text1"/>
          <w:spacing w:val="10"/>
          <w:sz w:val="32"/>
          <w:szCs w:val="32"/>
          <w14:textFill>
            <w14:solidFill>
              <w14:schemeClr w14:val="tx1"/>
            </w14:solidFill>
          </w14:textFill>
        </w:rPr>
      </w:pPr>
      <w:r>
        <w:rPr>
          <w:rFonts w:hint="eastAsia" w:ascii="楷体" w:hAnsi="楷体" w:eastAsia="楷体" w:cs="楷体"/>
          <w:color w:val="000000" w:themeColor="text1"/>
          <w:spacing w:val="10"/>
          <w:sz w:val="32"/>
          <w:szCs w:val="32"/>
          <w14:textFill>
            <w14:solidFill>
              <w14:schemeClr w14:val="tx1"/>
            </w14:solidFill>
          </w14:textFill>
        </w:rPr>
        <w:t>（三）回访。</w:t>
      </w:r>
      <w:r>
        <w:rPr>
          <w:rFonts w:hint="eastAsia" w:ascii="仿宋_GB2312" w:hAnsi="仿宋_GB2312" w:eastAsia="仿宋_GB2312" w:cs="仿宋_GB2312"/>
          <w:color w:val="000000" w:themeColor="text1"/>
          <w:spacing w:val="10"/>
          <w:sz w:val="32"/>
          <w:szCs w:val="32"/>
          <w14:textFill>
            <w14:solidFill>
              <w14:schemeClr w14:val="tx1"/>
            </w14:solidFill>
          </w14:textFill>
        </w:rPr>
        <w:t>做好市政务服务和大数据管理机构的抽查、电话回访等工作，了解掌握咨询投诉建议差评办理情况和群众满意情况。</w:t>
      </w:r>
    </w:p>
    <w:p>
      <w:pPr>
        <w:keepNext w:val="0"/>
        <w:keepLines w:val="0"/>
        <w:pageBreakBefore w:val="0"/>
        <w:kinsoku/>
        <w:wordWrap/>
        <w:overflowPunct/>
        <w:topLinePunct w:val="0"/>
        <w:autoSpaceDE/>
        <w:autoSpaceDN/>
        <w:bidi w:val="0"/>
        <w:adjustRightInd/>
        <w:spacing w:line="570" w:lineRule="exact"/>
        <w:ind w:firstLine="640"/>
        <w:textAlignment w:val="auto"/>
        <w:rPr>
          <w:rFonts w:hint="eastAsia" w:ascii="仿宋" w:hAnsi="仿宋" w:eastAsia="仿宋" w:cs="仿宋"/>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第七条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对企业和群众反映强烈、投诉集中的问题，要认真分析原因、采取有效措施、推动问题整改，举一反三，避免同类问题重复出现。</w:t>
      </w:r>
    </w:p>
    <w:p>
      <w:pPr>
        <w:keepNext w:val="0"/>
        <w:keepLines w:val="0"/>
        <w:pageBreakBefore w:val="0"/>
        <w:kinsoku/>
        <w:wordWrap/>
        <w:overflowPunct/>
        <w:topLinePunct w:val="0"/>
        <w:autoSpaceDE/>
        <w:autoSpaceDN/>
        <w:bidi w:val="0"/>
        <w:adjustRightInd/>
        <w:spacing w:line="570" w:lineRule="exact"/>
        <w:ind w:firstLine="640"/>
        <w:textAlignment w:val="auto"/>
        <w:rPr>
          <w:rFonts w:hint="eastAsia" w:ascii="仿宋" w:hAnsi="仿宋" w:eastAsia="仿宋" w:cs="仿宋"/>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 xml:space="preserve">第八条 </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明确专责科（股）室和人员，每个工作日登录河南省统一工作平台互动系统，及时查看、接收、处理涉及本地区本部门的咨询投诉建议差评，确保政务服务咨询投诉建议差评办理渠道畅通。</w:t>
      </w:r>
    </w:p>
    <w:p>
      <w:pPr>
        <w:keepNext w:val="0"/>
        <w:keepLines w:val="0"/>
        <w:pageBreakBefore w:val="0"/>
        <w:kinsoku/>
        <w:wordWrap/>
        <w:overflowPunct/>
        <w:topLinePunct w:val="0"/>
        <w:autoSpaceDE/>
        <w:autoSpaceDN/>
        <w:bidi w:val="0"/>
        <w:adjustRightInd/>
        <w:spacing w:line="570" w:lineRule="exact"/>
        <w:ind w:firstLine="640"/>
        <w:textAlignment w:val="auto"/>
        <w:rPr>
          <w:rFonts w:hint="eastAsia" w:ascii="仿宋" w:hAnsi="仿宋" w:eastAsia="仿宋" w:cs="仿宋"/>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第九条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政务服务咨询投诉建议差评办理人员不得擅自收集、存储、泄露企业和群众在咨询投诉建议差评中涉及的个人隐私、企业商业秘密等，不得将咨询投诉建议差评内容向相关工作人员以外的其他人员透露。违反此规定造成严重后果的，由相关部门依法依纪追究有关人员责任。</w:t>
      </w:r>
    </w:p>
    <w:p>
      <w:pPr>
        <w:keepNext w:val="0"/>
        <w:keepLines w:val="0"/>
        <w:pageBreakBefore w:val="0"/>
        <w:kinsoku/>
        <w:wordWrap/>
        <w:overflowPunct/>
        <w:topLinePunct w:val="0"/>
        <w:autoSpaceDE/>
        <w:autoSpaceDN/>
        <w:bidi w:val="0"/>
        <w:adjustRightInd/>
        <w:spacing w:line="570" w:lineRule="exact"/>
        <w:ind w:firstLine="640"/>
        <w:textAlignment w:val="auto"/>
        <w:rPr>
          <w:rFonts w:hint="eastAsia" w:ascii="仿宋" w:hAnsi="仿宋" w:eastAsia="仿宋" w:cs="仿宋"/>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第十条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加大政务服务“好差评”评价功能的推广和应用。根据河南省大数据局《关于省政务服务“好差评”和投诉新增功能及相关工作的通知》精神和要求，通过张贴静态二维码、支付宝小程序或豫事办APP扫码等多方式进行评价，提高群众对政务服务“好差评”的知晓度和参与度。</w:t>
      </w:r>
    </w:p>
    <w:p>
      <w:pPr>
        <w:keepNext w:val="0"/>
        <w:keepLines w:val="0"/>
        <w:pageBreakBefore w:val="0"/>
        <w:kinsoku/>
        <w:wordWrap/>
        <w:overflowPunct/>
        <w:topLinePunct w:val="0"/>
        <w:autoSpaceDE/>
        <w:autoSpaceDN/>
        <w:bidi w:val="0"/>
        <w:adjustRightInd/>
        <w:spacing w:line="570" w:lineRule="exact"/>
        <w:ind w:firstLine="640"/>
        <w:textAlignment w:val="auto"/>
        <w:rPr>
          <w:rFonts w:ascii="仿宋_GB2312" w:hAnsi="仿宋_GB2312" w:eastAsia="仿宋_GB2312" w:cs="仿宋_GB2312"/>
          <w:color w:val="000000" w:themeColor="text1"/>
          <w:spacing w:val="10"/>
          <w:sz w:val="32"/>
          <w:szCs w:val="32"/>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第十一条</w:t>
      </w:r>
      <w:r>
        <w:rPr>
          <w:rFonts w:hint="eastAsia" w:ascii="仿宋" w:hAnsi="仿宋" w:eastAsia="仿宋" w:cs="仿宋"/>
          <w:color w:val="000000" w:themeColor="text1"/>
          <w:spacing w:val="10"/>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10"/>
          <w:sz w:val="32"/>
          <w:szCs w:val="32"/>
          <w14:textFill>
            <w14:solidFill>
              <w14:schemeClr w14:val="tx1"/>
            </w14:solidFill>
          </w14:textFill>
        </w:rPr>
        <w:t>本办法由县政务服务和大数据管理局负责解释。</w:t>
      </w:r>
    </w:p>
    <w:p>
      <w:pPr>
        <w:keepNext w:val="0"/>
        <w:keepLines w:val="0"/>
        <w:pageBreakBefore w:val="0"/>
        <w:kinsoku/>
        <w:wordWrap/>
        <w:overflowPunct/>
        <w:topLinePunct w:val="0"/>
        <w:autoSpaceDE/>
        <w:autoSpaceDN/>
        <w:bidi w:val="0"/>
        <w:adjustRightInd/>
        <w:spacing w:line="570" w:lineRule="exact"/>
        <w:ind w:firstLine="640"/>
        <w:jc w:val="left"/>
        <w:textAlignment w:val="auto"/>
        <w:rPr>
          <w:rFonts w:hint="eastAsia" w:ascii="仿宋_GB2312" w:hAnsi="仿宋_GB2312" w:eastAsia="仿宋_GB2312" w:cs="仿宋_GB2312"/>
          <w:bCs/>
          <w:color w:val="000000" w:themeColor="text1"/>
          <w:spacing w:val="10"/>
          <w:sz w:val="32"/>
          <w:szCs w:val="32"/>
          <w:shd w:val="clear" w:color="auto" w:fill="FFFFFF"/>
          <w14:textFill>
            <w14:solidFill>
              <w14:schemeClr w14:val="tx1"/>
            </w14:solidFill>
          </w14:textFill>
        </w:rPr>
      </w:pPr>
      <w:r>
        <w:rPr>
          <w:rFonts w:hint="eastAsia" w:ascii="黑体" w:hAnsi="黑体" w:eastAsia="黑体" w:cs="黑体"/>
          <w:color w:val="000000" w:themeColor="text1"/>
          <w:spacing w:val="10"/>
          <w:sz w:val="32"/>
          <w:szCs w:val="32"/>
          <w14:textFill>
            <w14:solidFill>
              <w14:schemeClr w14:val="tx1"/>
            </w14:solidFill>
          </w14:textFill>
        </w:rPr>
        <w:t xml:space="preserve">第十二条  </w:t>
      </w:r>
      <w:r>
        <w:rPr>
          <w:rFonts w:hint="eastAsia" w:ascii="仿宋_GB2312" w:hAnsi="仿宋_GB2312" w:eastAsia="仿宋_GB2312" w:cs="仿宋_GB2312"/>
          <w:color w:val="000000" w:themeColor="text1"/>
          <w:spacing w:val="10"/>
          <w:sz w:val="32"/>
          <w:szCs w:val="32"/>
          <w14:textFill>
            <w14:solidFill>
              <w14:schemeClr w14:val="tx1"/>
            </w14:solidFill>
          </w14:textFill>
        </w:rPr>
        <w:t>本办法自发布之日起暂行，并根据省、市有关规定和暂行情况适时修订。</w:t>
      </w:r>
    </w:p>
    <w:p>
      <w:pPr>
        <w:keepNext w:val="0"/>
        <w:keepLines w:val="0"/>
        <w:pageBreakBefore w:val="0"/>
        <w:kinsoku/>
        <w:wordWrap/>
        <w:overflowPunct/>
        <w:topLinePunct w:val="0"/>
        <w:autoSpaceDE/>
        <w:autoSpaceDN/>
        <w:bidi w:val="0"/>
        <w:adjustRightInd/>
        <w:snapToGrid/>
        <w:spacing w:line="570" w:lineRule="exact"/>
        <w:ind w:firstLine="680" w:firstLineChars="200"/>
        <w:jc w:val="left"/>
        <w:textAlignment w:val="auto"/>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70" w:lineRule="exact"/>
        <w:ind w:firstLine="680" w:firstLineChars="200"/>
        <w:jc w:val="left"/>
        <w:textAlignment w:val="auto"/>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pPr>
      <w:r>
        <w:rPr>
          <w:rFonts w:hint="eastAsia" w:ascii="仿宋" w:hAnsi="仿宋" w:eastAsia="仿宋" w:cs="仿宋"/>
          <w:color w:val="000000" w:themeColor="text1"/>
          <w:spacing w:val="10"/>
          <w:kern w:val="0"/>
          <w:sz w:val="32"/>
          <w:szCs w:val="32"/>
          <w:lang w:bidi="ar"/>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70" w:lineRule="exact"/>
        <w:ind w:firstLine="680" w:firstLineChars="200"/>
        <w:jc w:val="left"/>
        <w:textAlignment w:val="auto"/>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pPr>
      <w:r>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spacing w:line="570" w:lineRule="exact"/>
        <w:ind w:firstLine="680" w:firstLineChars="200"/>
        <w:jc w:val="left"/>
        <w:textAlignment w:val="auto"/>
        <w:rPr>
          <w:rFonts w:hint="eastAsia" w:ascii="仿宋_GB2312" w:hAnsi="仿宋_GB2312" w:eastAsia="仿宋_GB2312" w:cs="仿宋_GB2312"/>
          <w:color w:val="000000" w:themeColor="text1"/>
          <w:spacing w:val="10"/>
          <w:kern w:val="0"/>
          <w:sz w:val="32"/>
          <w:szCs w:val="32"/>
          <w:lang w:bidi="ar"/>
          <w14:textFill>
            <w14:solidFill>
              <w14:schemeClr w14:val="tx1"/>
            </w14:solidFill>
          </w14:textFill>
        </w:rPr>
        <w:sectPr>
          <w:footerReference r:id="rId3" w:type="default"/>
          <w:pgSz w:w="11906" w:h="16838"/>
          <w:pgMar w:top="1440" w:right="1800" w:bottom="1440" w:left="1800" w:header="851" w:footer="992" w:gutter="0"/>
          <w:pgNumType w:fmt="numberInDash"/>
          <w:cols w:space="720" w:num="1"/>
          <w:docGrid w:type="lines" w:linePitch="312" w:charSpace="0"/>
        </w:sect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color w:val="000000" w:themeColor="text1"/>
          <w:lang w:val="en-US" w:eastAsia="zh-CN"/>
          <w14:textFill>
            <w14:solidFill>
              <w14:schemeClr w14:val="tx1"/>
            </w14:solidFill>
          </w14:textFill>
        </w:rPr>
      </w:pPr>
      <w:r>
        <w:rPr>
          <w:color w:val="000000" w:themeColor="text1"/>
          <w:sz w:val="30"/>
          <w:szCs w:val="30"/>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396240</wp:posOffset>
                </wp:positionV>
                <wp:extent cx="582866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82866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31.2pt;height:0pt;width:458.95pt;z-index:251659264;mso-width-relative:page;mso-height-relative:page;" filled="f" stroked="t" coordsize="21600,21600" o:gfxdata="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VtAb1wAAAAkBAAAPAAAAAAAAAAEAIAAAACIAAABkcnMvZG93bnJldi54bWxQSwEC&#10;FAAUAAAACACHTuJADEmoFPUBAADkAwAADgAAAAAAAAABACAAAAAmAQAAZHJzL2Uyb0RvYy54bWxQ&#10;SwUGAAAAAAYABgBZAQAAjQUAAAAA&#10;">
                <v:fill on="f" focussize="0,0"/>
                <v:stroke color="#000000" joinstyle="round"/>
                <v:imagedata o:title=""/>
                <o:lock v:ext="edit" aspectratio="f"/>
              </v:line>
            </w:pict>
          </mc:Fallback>
        </mc:AlternateContent>
      </w:r>
      <w:r>
        <w:rPr>
          <w:color w:val="000000" w:themeColor="text1"/>
          <w:sz w:val="30"/>
          <w:szCs w:val="30"/>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71436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71436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49.95pt;z-index:251660288;mso-width-relative:page;mso-height-relative:page;" filled="f" stroked="t" coordsize="21600,21600" o:gfxdata="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j/c4tIAAAACAQAADwAAAAAAAAABACAAAAAiAAAAZHJzL2Rvd25yZXYueG1sUEsBAhQAFAAA&#10;AAgAh07iQL4CFmn1AQAA5AMAAA4AAAAAAAAAAQAgAAAAIQEAAGRycy9lMm9Eb2MueG1sUEsFBgAA&#10;AAAGAAYAWQEAAIgFAAAAAA==&#10;">
                <v:fill on="f" focussize="0,0"/>
                <v:stroke color="#000000" joinstyle="round"/>
                <v:imagedata o:title=""/>
                <o:lock v:ext="edit" aspectratio="f"/>
              </v:line>
            </w:pict>
          </mc:Fallback>
        </mc:AlternateContent>
      </w:r>
      <w:r>
        <w:rPr>
          <w:color w:val="000000" w:themeColor="text1"/>
          <w:sz w:val="30"/>
          <w:szCs w:val="30"/>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0</wp:posOffset>
                </wp:positionV>
                <wp:extent cx="11430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1143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0pt;height:0.05pt;width:9pt;z-index:251661312;mso-width-relative:page;mso-height-relative:page;" filled="f" stroked="t" coordsize="21600,21600" o:gfxdata="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4SPNNEAAAACAQAADwAAAAAAAAABACAAAAAiAAAAZHJzL2Rvd25yZXYueG1sUEsBAhQAFAAA&#10;AAgAh07iQPYT1A72AQAA5QMAAA4AAAAAAAAAAQAgAAAAIAEAAGRycy9lMm9Eb2MueG1sUEsFBgAA&#10;AAAGAAYAWQEAAIgFAAAAAA==&#10;">
                <v:fill on="f" focussize="0,0"/>
                <v:stroke color="#000000" joinstyle="round"/>
                <v:imagedata o:title=""/>
                <o:lock v:ext="edit" aspectratio="f"/>
              </v:line>
            </w:pict>
          </mc:Fallback>
        </mc:AlternateContent>
      </w:r>
      <w:r>
        <w:rPr>
          <w:rFonts w:hint="eastAsia" w:ascii="仿宋_GB2312" w:eastAsia="仿宋_GB2312"/>
          <w:color w:val="000000" w:themeColor="text1"/>
          <w:sz w:val="30"/>
          <w:szCs w:val="30"/>
          <w14:textFill>
            <w14:solidFill>
              <w14:schemeClr w14:val="tx1"/>
            </w14:solidFill>
          </w14:textFill>
        </w:rPr>
        <w:t xml:space="preserve">延津县政务服务和大数据管理局办公室     </w:t>
      </w:r>
      <w:r>
        <w:rPr>
          <w:rFonts w:hint="eastAsia" w:ascii="仿宋_GB2312" w:eastAsia="仿宋_GB2312"/>
          <w:color w:val="000000" w:themeColor="text1"/>
          <w:position w:val="2"/>
          <w:sz w:val="30"/>
          <w:szCs w:val="30"/>
          <w:lang w:val="en-US" w:eastAsia="zh-CN"/>
          <w14:textFill>
            <w14:solidFill>
              <w14:schemeClr w14:val="tx1"/>
            </w14:solidFill>
          </w14:textFill>
        </w:rPr>
        <w:t>2020</w:t>
      </w:r>
      <w:r>
        <w:rPr>
          <w:rFonts w:hint="eastAsia" w:ascii="仿宋_GB2312" w:eastAsia="仿宋_GB2312"/>
          <w:color w:val="000000" w:themeColor="text1"/>
          <w:position w:val="2"/>
          <w:sz w:val="30"/>
          <w:szCs w:val="30"/>
          <w14:textFill>
            <w14:solidFill>
              <w14:schemeClr w14:val="tx1"/>
            </w14:solidFill>
          </w14:textFill>
        </w:rPr>
        <w:t>年</w:t>
      </w:r>
      <w:r>
        <w:rPr>
          <w:rFonts w:hint="eastAsia" w:ascii="仿宋_GB2312" w:eastAsia="仿宋_GB2312"/>
          <w:color w:val="000000" w:themeColor="text1"/>
          <w:position w:val="2"/>
          <w:sz w:val="30"/>
          <w:szCs w:val="30"/>
          <w:lang w:val="en-US" w:eastAsia="zh-CN"/>
          <w14:textFill>
            <w14:solidFill>
              <w14:schemeClr w14:val="tx1"/>
            </w14:solidFill>
          </w14:textFill>
        </w:rPr>
        <w:t>3</w:t>
      </w:r>
      <w:r>
        <w:rPr>
          <w:rFonts w:hint="eastAsia" w:ascii="仿宋_GB2312" w:eastAsia="仿宋_GB2312"/>
          <w:color w:val="000000" w:themeColor="text1"/>
          <w:position w:val="2"/>
          <w:sz w:val="30"/>
          <w:szCs w:val="30"/>
          <w14:textFill>
            <w14:solidFill>
              <w14:schemeClr w14:val="tx1"/>
            </w14:solidFill>
          </w14:textFill>
        </w:rPr>
        <w:t>月</w:t>
      </w:r>
      <w:r>
        <w:rPr>
          <w:rFonts w:hint="eastAsia" w:ascii="仿宋_GB2312" w:eastAsia="仿宋_GB2312"/>
          <w:color w:val="000000" w:themeColor="text1"/>
          <w:position w:val="2"/>
          <w:sz w:val="30"/>
          <w:szCs w:val="30"/>
          <w:lang w:val="en-US" w:eastAsia="zh-CN"/>
          <w14:textFill>
            <w14:solidFill>
              <w14:schemeClr w14:val="tx1"/>
            </w14:solidFill>
          </w14:textFill>
        </w:rPr>
        <w:t>27</w:t>
      </w:r>
      <w:r>
        <w:rPr>
          <w:rFonts w:hint="eastAsia" w:ascii="仿宋_GB2312" w:eastAsia="仿宋_GB2312"/>
          <w:color w:val="000000" w:themeColor="text1"/>
          <w:position w:val="2"/>
          <w:sz w:val="30"/>
          <w:szCs w:val="30"/>
          <w14:textFill>
            <w14:solidFill>
              <w14:schemeClr w14:val="tx1"/>
            </w14:solidFill>
          </w14:textFill>
        </w:rPr>
        <w:t>日印发</w:t>
      </w:r>
    </w:p>
    <w:sectPr>
      <w:footerReference r:id="rId4" w:type="default"/>
      <w:pgSz w:w="11906" w:h="16838"/>
      <w:pgMar w:top="2211" w:right="1531" w:bottom="1871" w:left="1531" w:header="851" w:footer="992"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2CD8CAB-A8A2-4719-85B3-9FA32033039D}"/>
  </w:font>
  <w:font w:name="Arial">
    <w:panose1 w:val="020B0604020202020204"/>
    <w:charset w:val="01"/>
    <w:family w:val="swiss"/>
    <w:pitch w:val="default"/>
    <w:sig w:usb0="E0002AFF" w:usb1="C0007843" w:usb2="00000009" w:usb3="00000000" w:csb0="400001FF" w:csb1="FFFF0000"/>
    <w:embedRegular r:id="rId2" w:fontKey="{B90F1486-5591-4DB4-9E53-08F4D3820CE4}"/>
  </w:font>
  <w:font w:name="黑体">
    <w:panose1 w:val="02010609060101010101"/>
    <w:charset w:val="86"/>
    <w:family w:val="auto"/>
    <w:pitch w:val="default"/>
    <w:sig w:usb0="800002BF" w:usb1="38CF7CFA" w:usb2="00000016" w:usb3="00000000" w:csb0="00040001" w:csb1="00000000"/>
    <w:embedRegular r:id="rId3" w:fontKey="{26684133-1DE5-4EAF-A127-C1E17D6D3EDF}"/>
  </w:font>
  <w:font w:name="Courier New">
    <w:panose1 w:val="02070309020205020404"/>
    <w:charset w:val="01"/>
    <w:family w:val="modern"/>
    <w:pitch w:val="default"/>
    <w:sig w:usb0="E0002AFF" w:usb1="C0007843" w:usb2="00000009" w:usb3="00000000" w:csb0="400001FF" w:csb1="FFFF0000"/>
    <w:embedRegular r:id="rId4" w:fontKey="{70BDE77E-8D5D-4CA5-A295-ACC513C2D43C}"/>
  </w:font>
  <w:font w:name="Symbol">
    <w:panose1 w:val="05050102010706020507"/>
    <w:charset w:val="02"/>
    <w:family w:val="roman"/>
    <w:pitch w:val="default"/>
    <w:sig w:usb0="00000000" w:usb1="00000000" w:usb2="00000000" w:usb3="00000000" w:csb0="80000000" w:csb1="00000000"/>
    <w:embedRegular r:id="rId5" w:fontKey="{4487B8E6-4E05-46B2-A44E-964422CFCE1C}"/>
  </w:font>
  <w:font w:name="Calibri">
    <w:panose1 w:val="020F0502020204030204"/>
    <w:charset w:val="00"/>
    <w:family w:val="swiss"/>
    <w:pitch w:val="default"/>
    <w:sig w:usb0="E00002FF" w:usb1="4000ACFF" w:usb2="00000001" w:usb3="00000000" w:csb0="2000019F" w:csb1="00000000"/>
    <w:embedRegular r:id="rId6" w:fontKey="{7F8D1755-BCDC-4F9F-A116-F4C08ACD36E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embedRegular r:id="rId7" w:fontKey="{570EF63E-8CF7-4B76-B06F-CAE6D3372AEF}"/>
  </w:font>
  <w:font w:name="仿宋_GB2312">
    <w:panose1 w:val="02010609030101010101"/>
    <w:charset w:val="86"/>
    <w:family w:val="modern"/>
    <w:pitch w:val="default"/>
    <w:sig w:usb0="00000001" w:usb1="080E0000" w:usb2="00000000" w:usb3="00000000" w:csb0="00040000" w:csb1="00000000"/>
    <w:embedRegular r:id="rId8" w:fontKey="{71F4FBAC-82A6-43EC-92EA-2F9B42A0DE74}"/>
  </w:font>
  <w:font w:name="方正大标宋简体">
    <w:panose1 w:val="03000509000000000000"/>
    <w:charset w:val="86"/>
    <w:family w:val="auto"/>
    <w:pitch w:val="default"/>
    <w:sig w:usb0="00000001" w:usb1="080E0000" w:usb2="00000000" w:usb3="00000000" w:csb0="00040000" w:csb1="00000000"/>
    <w:embedRegular r:id="rId9" w:fontKey="{EE27F858-3B71-463D-A7B2-7CBA2BA171C4}"/>
  </w:font>
  <w:font w:name="楷体">
    <w:panose1 w:val="02010609060101010101"/>
    <w:charset w:val="86"/>
    <w:family w:val="auto"/>
    <w:pitch w:val="default"/>
    <w:sig w:usb0="800002BF" w:usb1="38CF7CFA" w:usb2="00000016" w:usb3="00000000" w:csb0="00040001" w:csb1="00000000"/>
    <w:embedRegular r:id="rId10" w:fontKey="{07147759-1F2A-4BD6-88AC-A76DD3A66DC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pPr>
    <w: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- 2 -</w:t>
                          </w:r>
                          <w:r>
                            <w:rPr>
                              <w:rFonts w:hint="eastAsia" w:asciiTheme="majorEastAsia" w:hAnsiTheme="majorEastAsia" w:eastAsiaTheme="majorEastAsia" w:cstheme="majorEastAsia"/>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rrjO8k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lLShy3OPHzj+/nn7/Pv74R&#10;9KFAfYAa8x4DZqbhxg+YPPsBnZn3oKLNX2REMI7yni7yyiERkR+tlqtVhSGBsfmC+OzpeYiQ7qS3&#10;JBsNjTi/Iis/3kMaU+eUXM35W21MmaFxfzkQM3tY7n3sMVtp2A0ToZ1vT8inx9E31OGmU2I+OlQ2&#10;b8lsxNnYzcYhRL3vyhrlehA+HBI2UXrLFUbYqTDOrLCb9isvxfN7yXr6pz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uuuM7yQEAAJsDAAAOAAAAAAAAAAEAIAAAAB4BAABkcnMvZTJvRG9j&#10;LnhtbFBLBQYAAAAABgAGAFkBAABZBQAAAAA=&#10;">
              <v:fill on="f" focussize="0,0"/>
              <v:stroke on="f"/>
              <v:imagedata o:title=""/>
              <o:lock v:ext="edit" aspectratio="f"/>
              <v:textbox inset="0mm,0mm,0mm,0mm" style="mso-fit-shape-to-text:t;">
                <w:txbxContent>
                  <w:p>
                    <w:pPr>
                      <w:snapToGrid w:val="0"/>
                      <w:rPr>
                        <w:rFonts w:hint="eastAsia"/>
                        <w:sz w:val="1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- 2 -</w:t>
                    </w:r>
                    <w:r>
                      <w:rPr>
                        <w:rFonts w:hint="eastAsia" w:asciiTheme="majorEastAsia" w:hAnsiTheme="majorEastAsia" w:eastAsiaTheme="majorEastAsia" w:cstheme="majorEastAsia"/>
                        <w:sz w:val="28"/>
                        <w:szCs w:val="28"/>
                      </w:rPr>
                      <w:fldChar w:fldCharType="end"/>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tkm6skBAACb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G2SbqyQEAAJsDAAAOAAAAAAAAAAEAIAAAAB4BAABkcnMvZTJvRG9j&#10;LnhtbFBLBQYAAAAABgAGAFkBAABZ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fnvsskBAACb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d+e+yyQEAAJsDAAAOAAAAAAAAAAEAIAAAAB4BAABkcnMvZTJvRG9j&#10;LnhtbFBLBQYAAAAABgAGAFkBAABZ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jdksgBAACb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VhS4rjFiV9+/rj8+nP5/Z2g&#10;DwXqA9SYdx8wMw3v/IDJsx/QmXkPKtr8RUYE4yjv+SqvHBIR+dF6tV5XGBIYmy+Izx6ehwjpvfSW&#10;ZKOhEedXZOWnj5DG1DklV3P+ThtTZmjcPw7EzB6Wex97zFYa9sNEaO/bM/LpcfQNdbjplJgPDpXN&#10;WzIbcTb2s3EMUR+6ska5HoTbY8ImSm+5wgg7FcaZFXbTfuWleHwvWQ//1P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cY3ZLIAQAAmw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W9EbyQEAAJsDAAAOAAAAAAAAAAEAIAAAAB4BAABkcnMvZTJvRG9j&#10;LnhtbFBLBQYAAAAABgAGAFkBAABZ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oqY8k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1mipjyQEAAJsDAAAOAAAAAAAAAAEAIAAAAB4BAABkcnMvZTJvRG9j&#10;LnhtbFBLBQYAAAAABgAGAFkBAABZ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gUyskBAACb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GaEsctTvz888f515/z7+8E&#10;fShQH6DGvIeAmWn44AdMnv2Azsx7UNHmLzIiGEd5Txd55ZCIyI9Wy9WqwpDA2HxBfPb4PERIH6W3&#10;JBsNjTi/Iis/3kEaU+eUXM35W21MmaFx/zkQM3tY7n3sMVtp2A0ToZ1vT8inx9E31OGmU2I+OVQ2&#10;b8lsxNnYzcYhRL3vyhrlehDeHxI2UXrLFUbYqTDOrLCb9isvxb/3kvX4T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MOBTKyQEAAJsDAAAOAAAAAAAAAAEAIAAAAB4BAABkcnMvZTJvRG9j&#10;LnhtbFBLBQYAAAAABgAGAFkBAABZ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020328"/>
    <w:rsid w:val="06766A57"/>
    <w:rsid w:val="073D1BED"/>
    <w:rsid w:val="07FB6C7D"/>
    <w:rsid w:val="08FB3F91"/>
    <w:rsid w:val="0D9A2248"/>
    <w:rsid w:val="0DD270FD"/>
    <w:rsid w:val="11FB5E2F"/>
    <w:rsid w:val="15741509"/>
    <w:rsid w:val="1E093CC5"/>
    <w:rsid w:val="28804B71"/>
    <w:rsid w:val="28B756B1"/>
    <w:rsid w:val="2D5E708B"/>
    <w:rsid w:val="322F2416"/>
    <w:rsid w:val="338F71CB"/>
    <w:rsid w:val="33D032FC"/>
    <w:rsid w:val="35BD28AF"/>
    <w:rsid w:val="37020328"/>
    <w:rsid w:val="39126B8A"/>
    <w:rsid w:val="3DBB56B9"/>
    <w:rsid w:val="416D6C62"/>
    <w:rsid w:val="429F5310"/>
    <w:rsid w:val="42FB009A"/>
    <w:rsid w:val="48C92CD5"/>
    <w:rsid w:val="4AC73F05"/>
    <w:rsid w:val="4C564B64"/>
    <w:rsid w:val="4CAE582A"/>
    <w:rsid w:val="59287937"/>
    <w:rsid w:val="599A72B3"/>
    <w:rsid w:val="5E293314"/>
    <w:rsid w:val="5E314FCB"/>
    <w:rsid w:val="5F2B4B92"/>
    <w:rsid w:val="63096911"/>
    <w:rsid w:val="66F466BC"/>
    <w:rsid w:val="68755997"/>
    <w:rsid w:val="6B2C30FE"/>
    <w:rsid w:val="6B613896"/>
    <w:rsid w:val="6C9243FD"/>
    <w:rsid w:val="6F6E71EE"/>
    <w:rsid w:val="71FF0DFB"/>
    <w:rsid w:val="72454E19"/>
    <w:rsid w:val="73075B98"/>
    <w:rsid w:val="74B44196"/>
    <w:rsid w:val="7CD57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FootnoteText"/>
    <w:basedOn w:val="1"/>
    <w:qFormat/>
    <w:uiPriority w:val="0"/>
    <w:pPr>
      <w:snapToGrid w:val="0"/>
      <w:spacing w:line="360" w:lineRule="auto"/>
      <w:ind w:firstLine="200" w:firstLineChars="200"/>
      <w:jc w:val="left"/>
      <w:textAlignment w:val="baseline"/>
    </w:p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9">
    <w:name w:val="font51"/>
    <w:basedOn w:val="8"/>
    <w:qFormat/>
    <w:uiPriority w:val="0"/>
    <w:rPr>
      <w:rFonts w:hint="eastAsia" w:ascii="方正仿宋_GBK" w:hAnsi="方正仿宋_GBK" w:eastAsia="方正仿宋_GBK" w:cs="方正仿宋_GBK"/>
      <w:b/>
      <w:color w:val="000000"/>
      <w:sz w:val="28"/>
      <w:szCs w:val="28"/>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2019-07-31T07:38:00Z</dcterms:created>
  <dc:creator>Administrator</dc:creator>
  <cp:lastModifiedBy>my⃠</cp:lastModifiedBy>
  <cp:lastPrinted>2021-03-27T01:44:00Z</cp:lastPrinted>
  <dcterms:modified xsi:type="dcterms:W3CDTF">2020-03-27T06:06:24Z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KSOSaveFontToCloudKey">
    <vt:lpwstr>0_embed</vt:lpwstr>
  </property>
  <property fmtid="{D5CDD505-2E9C-101B-9397-08002B2CF9AE}" pid="4" name="ICV">
    <vt:lpwstr>36B8BD11BEEB4A64B12D513E350149B9</vt:lpwstr>
  </property>
</Properties>
</file>